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D15" w:rsidRPr="009F71D8" w:rsidRDefault="00222D15" w:rsidP="003F11EE">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B7656">
        <w:rPr>
          <w:rFonts w:ascii="Palatino Linotype" w:hAnsi="Palatino Linotype" w:cs="Arial"/>
          <w:b/>
          <w:sz w:val="24"/>
          <w:szCs w:val="24"/>
        </w:rPr>
        <w:t xml:space="preserve">TRIGÉSIMA CUARTA </w:t>
      </w:r>
      <w:r w:rsidRPr="009F71D8">
        <w:rPr>
          <w:rFonts w:ascii="Palatino Linotype" w:hAnsi="Palatino Linotype" w:cs="Arial"/>
          <w:b/>
          <w:sz w:val="24"/>
          <w:szCs w:val="24"/>
        </w:rPr>
        <w:t xml:space="preserve">SESIÓN ORDINARIA DE </w:t>
      </w:r>
      <w:r w:rsidR="004B7656">
        <w:rPr>
          <w:rFonts w:ascii="Palatino Linotype" w:hAnsi="Palatino Linotype" w:cs="Arial"/>
          <w:b/>
          <w:sz w:val="24"/>
          <w:szCs w:val="24"/>
        </w:rPr>
        <w:t xml:space="preserve">DIECINUEVE </w:t>
      </w:r>
      <w:r>
        <w:rPr>
          <w:rFonts w:ascii="Palatino Linotype" w:hAnsi="Palatino Linotype" w:cs="Arial"/>
          <w:b/>
          <w:sz w:val="24"/>
          <w:szCs w:val="24"/>
        </w:rPr>
        <w:t xml:space="preserve">DE </w:t>
      </w:r>
      <w:r w:rsidR="004B7656">
        <w:rPr>
          <w:rFonts w:ascii="Palatino Linotype" w:hAnsi="Palatino Linotype" w:cs="Arial"/>
          <w:b/>
          <w:sz w:val="24"/>
          <w:szCs w:val="24"/>
        </w:rPr>
        <w:t xml:space="preserve">SEPTIEMBRE </w:t>
      </w:r>
      <w:r w:rsidRPr="009F71D8">
        <w:rPr>
          <w:rFonts w:ascii="Palatino Linotype" w:hAnsi="Palatino Linotype" w:cs="Arial"/>
          <w:b/>
          <w:sz w:val="24"/>
          <w:szCs w:val="24"/>
        </w:rPr>
        <w:t>DE DOS MIL DIECI</w:t>
      </w:r>
      <w:r>
        <w:rPr>
          <w:rFonts w:ascii="Palatino Linotype" w:hAnsi="Palatino Linotype" w:cs="Arial"/>
          <w:b/>
          <w:sz w:val="24"/>
          <w:szCs w:val="24"/>
        </w:rPr>
        <w:t>OCHO</w:t>
      </w:r>
      <w:r w:rsidRPr="009F71D8">
        <w:rPr>
          <w:rFonts w:ascii="Palatino Linotype" w:hAnsi="Palatino Linotype" w:cs="Arial"/>
          <w:b/>
          <w:sz w:val="24"/>
          <w:szCs w:val="24"/>
        </w:rPr>
        <w:t xml:space="preserve">, EN EL RECURSO DE REVISIÓN </w:t>
      </w:r>
      <w:r w:rsidR="004B7656">
        <w:rPr>
          <w:rFonts w:ascii="Palatino Linotype" w:hAnsi="Palatino Linotype" w:cs="Arial"/>
          <w:b/>
          <w:bCs/>
          <w:sz w:val="24"/>
          <w:szCs w:val="24"/>
        </w:rPr>
        <w:t>02725</w:t>
      </w:r>
      <w:r w:rsidRPr="009F71D8">
        <w:rPr>
          <w:rFonts w:ascii="Palatino Linotype" w:hAnsi="Palatino Linotype" w:cs="Arial"/>
          <w:b/>
          <w:bCs/>
          <w:sz w:val="24"/>
          <w:szCs w:val="24"/>
        </w:rPr>
        <w:t>/INFOEM/IP/RR/201</w:t>
      </w:r>
      <w:r>
        <w:rPr>
          <w:rFonts w:ascii="Palatino Linotype" w:hAnsi="Palatino Linotype" w:cs="Arial"/>
          <w:b/>
          <w:bCs/>
          <w:sz w:val="24"/>
          <w:szCs w:val="24"/>
        </w:rPr>
        <w:t>8</w:t>
      </w:r>
      <w:r w:rsidRPr="009F71D8">
        <w:rPr>
          <w:rFonts w:ascii="Palatino Linotype" w:hAnsi="Palatino Linotype" w:cs="Arial"/>
          <w:b/>
          <w:bCs/>
          <w:sz w:val="24"/>
          <w:szCs w:val="24"/>
        </w:rPr>
        <w:t>.</w:t>
      </w:r>
    </w:p>
    <w:p w:rsidR="00222D15" w:rsidRPr="009F71D8" w:rsidRDefault="00222D15" w:rsidP="003F11EE">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4B7656">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4B7656">
        <w:rPr>
          <w:rFonts w:ascii="Palatino Linotype" w:hAnsi="Palatino Linotype" w:cs="Arial"/>
          <w:b/>
          <w:bCs/>
          <w:sz w:val="24"/>
          <w:szCs w:val="24"/>
        </w:rPr>
        <w:t>02725</w:t>
      </w:r>
      <w:r>
        <w:rPr>
          <w:rFonts w:ascii="Palatino Linotype" w:hAnsi="Palatino Linotype" w:cs="Arial"/>
          <w:b/>
          <w:bCs/>
          <w:sz w:val="24"/>
          <w:szCs w:val="24"/>
        </w:rPr>
        <w:t>/INFOEM/IP/RR/2018</w:t>
      </w:r>
      <w:r w:rsidRPr="009F71D8">
        <w:rPr>
          <w:rFonts w:ascii="Palatino Linotype" w:hAnsi="Palatino Linotype" w:cs="Arial"/>
          <w:sz w:val="24"/>
          <w:szCs w:val="24"/>
        </w:rPr>
        <w:t xml:space="preserve">, pronunciada por el Pleno de este Instituto ante el proyecto presentado por la Comisionada Presidenta </w:t>
      </w:r>
      <w:r w:rsidRPr="009F71D8">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3F11EE">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r w:rsidR="00D611DA">
        <w:rPr>
          <w:rFonts w:ascii="Palatino Linotype" w:hAnsi="Palatino Linotype"/>
          <w:sz w:val="24"/>
          <w:szCs w:val="24"/>
        </w:rPr>
        <w:t xml:space="preserve">, tocante a parte de la información que se ordena. </w:t>
      </w:r>
    </w:p>
    <w:p w:rsidR="00222D15" w:rsidRPr="00B45A2D" w:rsidRDefault="00222D15" w:rsidP="003F11EE">
      <w:pPr>
        <w:spacing w:before="100" w:beforeAutospacing="1" w:after="100" w:afterAutospacing="1"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4B7656">
        <w:rPr>
          <w:rFonts w:ascii="Palatino Linotype" w:hAnsi="Palatino Linotype"/>
          <w:sz w:val="24"/>
          <w:szCs w:val="24"/>
        </w:rPr>
        <w:t>ón materia del presente voto, el</w:t>
      </w:r>
      <w:r w:rsidRPr="009F71D8">
        <w:rPr>
          <w:rFonts w:ascii="Palatino Linotype" w:hAnsi="Palatino Linotype"/>
          <w:sz w:val="24"/>
          <w:szCs w:val="24"/>
        </w:rPr>
        <w:t xml:space="preserve"> particular requirió del </w:t>
      </w:r>
      <w:r w:rsidR="00B45A2D">
        <w:rPr>
          <w:rFonts w:ascii="Palatino Linotype" w:hAnsi="Palatino Linotype"/>
          <w:b/>
          <w:sz w:val="24"/>
          <w:szCs w:val="24"/>
        </w:rPr>
        <w:t>Ayuntamiento de Valle de Chalco Solidaridad</w:t>
      </w:r>
      <w:r w:rsidR="00D24722">
        <w:rPr>
          <w:rFonts w:ascii="Palatino Linotype" w:hAnsi="Palatino Linotype"/>
          <w:sz w:val="24"/>
          <w:szCs w:val="24"/>
        </w:rPr>
        <w:t xml:space="preserve">, en lo sucesivo </w:t>
      </w:r>
      <w:r w:rsidR="007400A4">
        <w:rPr>
          <w:rFonts w:ascii="Palatino Linotype" w:hAnsi="Palatino Linotype"/>
          <w:b/>
          <w:sz w:val="24"/>
          <w:szCs w:val="24"/>
        </w:rPr>
        <w:t>EL</w:t>
      </w:r>
      <w:r w:rsidR="007400A4" w:rsidRPr="007400A4">
        <w:rPr>
          <w:rFonts w:ascii="Palatino Linotype" w:hAnsi="Palatino Linotype"/>
          <w:sz w:val="24"/>
          <w:szCs w:val="24"/>
        </w:rPr>
        <w:t xml:space="preserve"> </w:t>
      </w:r>
      <w:r w:rsidRPr="009F71D8">
        <w:rPr>
          <w:rFonts w:ascii="Palatino Linotype" w:hAnsi="Palatino Linotype"/>
          <w:b/>
          <w:sz w:val="24"/>
          <w:szCs w:val="24"/>
        </w:rPr>
        <w:t>SUJETO OBLIGADO,</w:t>
      </w:r>
      <w:r w:rsidRPr="009F71D8">
        <w:rPr>
          <w:rFonts w:ascii="Palatino Linotype" w:hAnsi="Palatino Linotype"/>
          <w:sz w:val="24"/>
          <w:szCs w:val="24"/>
        </w:rPr>
        <w:t xml:space="preserve"> </w:t>
      </w:r>
      <w:r w:rsidR="00B45A2D">
        <w:rPr>
          <w:rFonts w:ascii="Palatino Linotype" w:hAnsi="Palatino Linotype"/>
          <w:sz w:val="24"/>
          <w:szCs w:val="24"/>
        </w:rPr>
        <w:t xml:space="preserve">el laudo dictado por la Sala de </w:t>
      </w:r>
      <w:r w:rsidR="00B45A2D">
        <w:rPr>
          <w:rFonts w:ascii="Palatino Linotype" w:hAnsi="Palatino Linotype"/>
          <w:sz w:val="24"/>
          <w:szCs w:val="24"/>
        </w:rPr>
        <w:lastRenderedPageBreak/>
        <w:t>Ecatepec con número de expediente SAE 02/2010 y en el que el Ayuntamiento ha efectuado diversos pagos a favor de</w:t>
      </w:r>
      <w:r w:rsidR="00FD0634">
        <w:rPr>
          <w:rFonts w:ascii="Palatino Linotype" w:hAnsi="Palatino Linotype"/>
          <w:sz w:val="24"/>
          <w:szCs w:val="24"/>
        </w:rPr>
        <w:t xml:space="preserve"> </w:t>
      </w:r>
      <w:r w:rsidR="00B45A2D">
        <w:rPr>
          <w:rFonts w:ascii="Palatino Linotype" w:hAnsi="Palatino Linotype"/>
          <w:sz w:val="24"/>
          <w:szCs w:val="24"/>
        </w:rPr>
        <w:t>l</w:t>
      </w:r>
      <w:r w:rsidR="00FD0634">
        <w:rPr>
          <w:rFonts w:ascii="Palatino Linotype" w:hAnsi="Palatino Linotype"/>
          <w:sz w:val="24"/>
          <w:szCs w:val="24"/>
        </w:rPr>
        <w:t>a persona referida</w:t>
      </w:r>
      <w:r w:rsidR="001A0FDC">
        <w:rPr>
          <w:rFonts w:ascii="Palatino Linotype" w:hAnsi="Palatino Linotype"/>
          <w:sz w:val="24"/>
          <w:szCs w:val="24"/>
        </w:rPr>
        <w:t>.</w:t>
      </w:r>
    </w:p>
    <w:p w:rsidR="00D24722" w:rsidRDefault="00D24722"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Ahora bien, de las constancias que obran dentro del expediente electrónico del Sistema de Acceso a la Información Mexiquense, en lo subsecuente 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emitir una respuesta </w:t>
      </w:r>
      <w:r w:rsidR="000F0E2A">
        <w:rPr>
          <w:rFonts w:ascii="Palatino Linotype" w:hAnsi="Palatino Linotype" w:cs="Arial"/>
          <w:sz w:val="24"/>
          <w:szCs w:val="24"/>
        </w:rPr>
        <w:t xml:space="preserve">a </w:t>
      </w:r>
      <w:r>
        <w:rPr>
          <w:rFonts w:ascii="Palatino Linotype" w:hAnsi="Palatino Linotype" w:cs="Arial"/>
          <w:sz w:val="24"/>
          <w:szCs w:val="24"/>
        </w:rPr>
        <w:t>la solicitud de información fo</w:t>
      </w:r>
      <w:r w:rsidR="00125DDC">
        <w:rPr>
          <w:rFonts w:ascii="Palatino Linotype" w:hAnsi="Palatino Linotype" w:cs="Arial"/>
          <w:sz w:val="24"/>
          <w:szCs w:val="24"/>
        </w:rPr>
        <w:t xml:space="preserve">rmulada por </w:t>
      </w:r>
      <w:r w:rsidR="00CC11F3">
        <w:rPr>
          <w:rFonts w:ascii="Palatino Linotype" w:hAnsi="Palatino Linotype" w:cs="Arial"/>
          <w:sz w:val="24"/>
          <w:szCs w:val="24"/>
        </w:rPr>
        <w:t>e</w:t>
      </w:r>
      <w:r>
        <w:rPr>
          <w:rFonts w:ascii="Palatino Linotype" w:hAnsi="Palatino Linotype" w:cs="Arial"/>
          <w:sz w:val="24"/>
          <w:szCs w:val="24"/>
        </w:rPr>
        <w:t xml:space="preserve">l particular. </w:t>
      </w:r>
    </w:p>
    <w:p w:rsidR="00D24722" w:rsidRDefault="00D24722"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En ese tenor, </w:t>
      </w:r>
      <w:r w:rsidR="00CC11F3" w:rsidRPr="00CC11F3">
        <w:rPr>
          <w:rFonts w:ascii="Palatino Linotype" w:hAnsi="Palatino Linotype" w:cs="Arial"/>
          <w:b/>
          <w:sz w:val="24"/>
          <w:szCs w:val="24"/>
        </w:rPr>
        <w:t>E</w:t>
      </w:r>
      <w:r w:rsidRPr="00D316E0">
        <w:rPr>
          <w:rFonts w:ascii="Palatino Linotype" w:hAnsi="Palatino Linotype" w:cs="Arial"/>
          <w:b/>
          <w:sz w:val="24"/>
          <w:szCs w:val="24"/>
        </w:rPr>
        <w:t>L RECURRENTE</w:t>
      </w:r>
      <w:r>
        <w:rPr>
          <w:rFonts w:ascii="Palatino Linotype" w:hAnsi="Palatino Linotype" w:cs="Arial"/>
          <w:sz w:val="24"/>
          <w:szCs w:val="24"/>
        </w:rPr>
        <w:t xml:space="preserve"> inconforme con la falta de respuesta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interpuso el recurso de revisión de mérito. </w:t>
      </w:r>
    </w:p>
    <w:p w:rsidR="00D24722" w:rsidRPr="00D24722" w:rsidRDefault="00D24722"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Bajo esa t</w:t>
      </w:r>
      <w:r w:rsidR="003006F3">
        <w:rPr>
          <w:rFonts w:ascii="Palatino Linotype" w:hAnsi="Palatino Linotype" w:cs="Arial"/>
          <w:sz w:val="24"/>
          <w:szCs w:val="24"/>
        </w:rPr>
        <w:t>esitura, las partes fueron omiso</w:t>
      </w:r>
      <w:r>
        <w:rPr>
          <w:rFonts w:ascii="Palatino Linotype" w:hAnsi="Palatino Linotype" w:cs="Arial"/>
          <w:sz w:val="24"/>
          <w:szCs w:val="24"/>
        </w:rPr>
        <w:t>s en</w:t>
      </w:r>
      <w:r w:rsidR="00733C73">
        <w:rPr>
          <w:rFonts w:ascii="Palatino Linotype" w:hAnsi="Palatino Linotype" w:cs="Arial"/>
          <w:sz w:val="24"/>
          <w:szCs w:val="24"/>
        </w:rPr>
        <w:t xml:space="preserve"> remitir manifestaciones </w:t>
      </w:r>
      <w:r w:rsidR="00D611DA">
        <w:rPr>
          <w:rFonts w:ascii="Palatino Linotype" w:hAnsi="Palatino Linotype" w:cs="Arial"/>
          <w:sz w:val="24"/>
          <w:szCs w:val="24"/>
        </w:rPr>
        <w:t>al</w:t>
      </w:r>
      <w:r w:rsidR="00733C73">
        <w:rPr>
          <w:rFonts w:ascii="Palatino Linotype" w:hAnsi="Palatino Linotype" w:cs="Arial"/>
          <w:sz w:val="24"/>
          <w:szCs w:val="24"/>
        </w:rPr>
        <w:t xml:space="preserve"> recurso </w:t>
      </w:r>
      <w:r>
        <w:rPr>
          <w:rFonts w:ascii="Palatino Linotype" w:hAnsi="Palatino Linotype" w:cs="Arial"/>
          <w:sz w:val="24"/>
          <w:szCs w:val="24"/>
        </w:rPr>
        <w:t>de revisión que pudiera</w:t>
      </w:r>
      <w:r w:rsidR="00D611DA">
        <w:rPr>
          <w:rFonts w:ascii="Palatino Linotype" w:hAnsi="Palatino Linotype" w:cs="Arial"/>
          <w:sz w:val="24"/>
          <w:szCs w:val="24"/>
        </w:rPr>
        <w:t>n</w:t>
      </w:r>
      <w:r>
        <w:rPr>
          <w:rFonts w:ascii="Palatino Linotype" w:hAnsi="Palatino Linotype" w:cs="Arial"/>
          <w:sz w:val="24"/>
          <w:szCs w:val="24"/>
        </w:rPr>
        <w:t xml:space="preserve"> satisfacer la solicitud de</w:t>
      </w:r>
      <w:r w:rsidR="001A0FDC">
        <w:rPr>
          <w:rFonts w:ascii="Palatino Linotype" w:hAnsi="Palatino Linotype" w:cs="Arial"/>
          <w:sz w:val="24"/>
          <w:szCs w:val="24"/>
        </w:rPr>
        <w:t xml:space="preserve">l </w:t>
      </w:r>
      <w:r>
        <w:rPr>
          <w:rFonts w:ascii="Palatino Linotype" w:hAnsi="Palatino Linotype" w:cs="Arial"/>
          <w:sz w:val="24"/>
          <w:szCs w:val="24"/>
        </w:rPr>
        <w:t>particular dentro del plazo señalado en el artículo 185</w:t>
      </w:r>
      <w:r w:rsidR="00FD0634">
        <w:rPr>
          <w:rFonts w:ascii="Palatino Linotype" w:hAnsi="Palatino Linotype" w:cs="Arial"/>
          <w:sz w:val="24"/>
          <w:szCs w:val="24"/>
        </w:rPr>
        <w:t>,</w:t>
      </w:r>
      <w:r>
        <w:rPr>
          <w:rFonts w:ascii="Palatino Linotype" w:hAnsi="Palatino Linotype" w:cs="Arial"/>
          <w:sz w:val="24"/>
          <w:szCs w:val="24"/>
        </w:rPr>
        <w:t xml:space="preserve"> fracción II de la Ley de Transparencia y Acceso a la Información Pública del Estado de México y Municipios. </w:t>
      </w:r>
    </w:p>
    <w:p w:rsidR="007B3F24" w:rsidRDefault="00725933"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Así, del estudio del expediente electrónico,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estableció que los motivos de inconformidad aducidos por </w:t>
      </w:r>
      <w:r w:rsidR="00CC11F3">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resultaban fundados y por ende, determinó </w:t>
      </w:r>
      <w:r w:rsidR="00D24722">
        <w:rPr>
          <w:rFonts w:ascii="Palatino Linotype" w:hAnsi="Palatino Linotype" w:cs="Arial"/>
          <w:b/>
          <w:sz w:val="24"/>
          <w:szCs w:val="24"/>
        </w:rPr>
        <w:t>ORDENAR</w:t>
      </w:r>
      <w:r>
        <w:rPr>
          <w:rFonts w:ascii="Palatino Linotype" w:hAnsi="Palatino Linotype" w:cs="Arial"/>
          <w:b/>
          <w:sz w:val="24"/>
          <w:szCs w:val="24"/>
        </w:rPr>
        <w:t xml:space="preserve"> </w:t>
      </w:r>
      <w:r>
        <w:rPr>
          <w:rFonts w:ascii="Palatino Linotype" w:hAnsi="Palatino Linotype" w:cs="Arial"/>
          <w:sz w:val="24"/>
          <w:szCs w:val="24"/>
        </w:rPr>
        <w:t>a</w:t>
      </w:r>
      <w:r w:rsidR="00D24722">
        <w:rPr>
          <w:rFonts w:ascii="Palatino Linotype" w:hAnsi="Palatino Linotype" w:cs="Arial"/>
          <w:sz w:val="24"/>
          <w:szCs w:val="24"/>
        </w:rPr>
        <w:t xml:space="preserve">l </w:t>
      </w:r>
      <w:r>
        <w:rPr>
          <w:rFonts w:ascii="Palatino Linotype" w:hAnsi="Palatino Linotype" w:cs="Arial"/>
          <w:b/>
          <w:sz w:val="24"/>
          <w:szCs w:val="24"/>
        </w:rPr>
        <w:t xml:space="preserve">SUJETO OBLIGADO, </w:t>
      </w:r>
      <w:r w:rsidR="00D53D2E">
        <w:rPr>
          <w:rFonts w:ascii="Palatino Linotype" w:hAnsi="Palatino Linotype" w:cs="Arial"/>
          <w:sz w:val="24"/>
          <w:szCs w:val="24"/>
        </w:rPr>
        <w:t>atender</w:t>
      </w:r>
      <w:r w:rsidR="007B3F24">
        <w:rPr>
          <w:rFonts w:ascii="Palatino Linotype" w:hAnsi="Palatino Linotype" w:cs="Arial"/>
          <w:sz w:val="24"/>
          <w:szCs w:val="24"/>
        </w:rPr>
        <w:t xml:space="preserve"> la solicitud de </w:t>
      </w:r>
      <w:r w:rsidR="00CC11F3">
        <w:rPr>
          <w:rFonts w:ascii="Palatino Linotype" w:hAnsi="Palatino Linotype" w:cs="Arial"/>
          <w:sz w:val="24"/>
          <w:szCs w:val="24"/>
        </w:rPr>
        <w:t>información número 00125</w:t>
      </w:r>
      <w:r w:rsidR="00125DDC">
        <w:rPr>
          <w:rFonts w:ascii="Palatino Linotype" w:hAnsi="Palatino Linotype" w:cs="Arial"/>
          <w:sz w:val="24"/>
          <w:szCs w:val="24"/>
        </w:rPr>
        <w:t>/</w:t>
      </w:r>
      <w:r w:rsidR="00CC11F3">
        <w:rPr>
          <w:rFonts w:ascii="Palatino Linotype" w:hAnsi="Palatino Linotype" w:cs="Arial"/>
          <w:sz w:val="24"/>
          <w:szCs w:val="24"/>
        </w:rPr>
        <w:t>VACHASO</w:t>
      </w:r>
      <w:r w:rsidR="007B3F24">
        <w:rPr>
          <w:rFonts w:ascii="Palatino Linotype" w:hAnsi="Palatino Linotype" w:cs="Arial"/>
          <w:sz w:val="24"/>
          <w:szCs w:val="24"/>
        </w:rPr>
        <w:t xml:space="preserve">/IP/2018, </w:t>
      </w:r>
      <w:r w:rsidR="00D53D2E">
        <w:rPr>
          <w:rFonts w:ascii="Palatino Linotype" w:hAnsi="Palatino Linotype" w:cs="Arial"/>
          <w:sz w:val="24"/>
          <w:szCs w:val="24"/>
        </w:rPr>
        <w:t>e hiciera</w:t>
      </w:r>
      <w:r w:rsidR="007B3F24">
        <w:rPr>
          <w:rFonts w:ascii="Palatino Linotype" w:hAnsi="Palatino Linotype" w:cs="Arial"/>
          <w:sz w:val="24"/>
          <w:szCs w:val="24"/>
        </w:rPr>
        <w:t xml:space="preserve"> entrega vía </w:t>
      </w:r>
      <w:r w:rsidR="007B3F24" w:rsidRPr="007746BF">
        <w:rPr>
          <w:rFonts w:ascii="Palatino Linotype" w:hAnsi="Palatino Linotype" w:cs="Arial"/>
          <w:b/>
          <w:sz w:val="24"/>
          <w:szCs w:val="24"/>
        </w:rPr>
        <w:t>SAIMEX</w:t>
      </w:r>
      <w:r w:rsidR="007B3F24">
        <w:rPr>
          <w:rFonts w:ascii="Palatino Linotype" w:hAnsi="Palatino Linotype" w:cs="Arial"/>
          <w:sz w:val="24"/>
          <w:szCs w:val="24"/>
        </w:rPr>
        <w:t xml:space="preserve">, y en versión pública </w:t>
      </w:r>
      <w:r w:rsidR="00D53D2E">
        <w:rPr>
          <w:rFonts w:ascii="Palatino Linotype" w:hAnsi="Palatino Linotype" w:cs="Arial"/>
          <w:sz w:val="24"/>
          <w:szCs w:val="24"/>
        </w:rPr>
        <w:t xml:space="preserve">de </w:t>
      </w:r>
      <w:r w:rsidR="007B3F24">
        <w:rPr>
          <w:rFonts w:ascii="Palatino Linotype" w:hAnsi="Palatino Linotype" w:cs="Arial"/>
          <w:sz w:val="24"/>
          <w:szCs w:val="24"/>
        </w:rPr>
        <w:t xml:space="preserve">lo siguiente: </w:t>
      </w:r>
    </w:p>
    <w:p w:rsidR="00ED1FDA" w:rsidRPr="00ED1FDA" w:rsidRDefault="00ED1FDA" w:rsidP="003F11EE">
      <w:pPr>
        <w:pStyle w:val="Prrafodelista"/>
        <w:numPr>
          <w:ilvl w:val="0"/>
          <w:numId w:val="7"/>
        </w:numPr>
        <w:spacing w:after="0" w:line="240" w:lineRule="auto"/>
        <w:ind w:left="851" w:right="902" w:firstLine="0"/>
        <w:jc w:val="both"/>
        <w:rPr>
          <w:rFonts w:ascii="Palatino Linotype" w:hAnsi="Palatino Linotype"/>
          <w:i/>
          <w:lang w:eastAsia="es-MX"/>
        </w:rPr>
      </w:pPr>
      <w:r w:rsidRPr="00ED1FDA">
        <w:rPr>
          <w:rFonts w:ascii="Palatino Linotype" w:hAnsi="Palatino Linotype"/>
          <w:i/>
          <w:lang w:eastAsia="es-MX"/>
        </w:rPr>
        <w:t>Laudo dictado por la Sala Ecatepec en el expediente SAE 02/2010.</w:t>
      </w:r>
    </w:p>
    <w:p w:rsidR="00ED1FDA" w:rsidRPr="00ED1FDA" w:rsidRDefault="00ED1FDA" w:rsidP="003F11EE">
      <w:pPr>
        <w:pStyle w:val="Prrafodelista"/>
        <w:spacing w:after="0" w:line="240" w:lineRule="auto"/>
        <w:ind w:left="851" w:right="902"/>
        <w:jc w:val="both"/>
        <w:rPr>
          <w:rFonts w:ascii="Palatino Linotype" w:hAnsi="Palatino Linotype"/>
          <w:i/>
          <w:lang w:eastAsia="es-MX"/>
        </w:rPr>
      </w:pPr>
      <w:r w:rsidRPr="00ED1FDA">
        <w:rPr>
          <w:rFonts w:ascii="Palatino Linotype" w:hAnsi="Palatino Linotype"/>
          <w:i/>
          <w:lang w:eastAsia="es-MX"/>
        </w:rPr>
        <w:t xml:space="preserve">El acuerdo de clasificación emitido por el Comité de Transparencia que respalde la versión pública de la información que ponga a disposición el Sujeto Obligado, en </w:t>
      </w:r>
      <w:r w:rsidRPr="00ED1FDA">
        <w:rPr>
          <w:rFonts w:ascii="Palatino Linotype" w:hAnsi="Palatino Linotype"/>
          <w:i/>
          <w:lang w:eastAsia="es-MX"/>
        </w:rPr>
        <w:lastRenderedPageBreak/>
        <w:t>términos de lo señalado en el Considerando Cuarto y en los artículos 49 fracción VIII, 132 fracción II de la Ley  de Transparencia y Acceso a la Información Pública del Estado de México y Municipios y demás normatividad aplicable.</w:t>
      </w:r>
    </w:p>
    <w:p w:rsidR="00ED1FDA" w:rsidRPr="00ED1FDA" w:rsidRDefault="00ED1FDA" w:rsidP="003F11EE">
      <w:pPr>
        <w:pStyle w:val="Prrafodelista"/>
        <w:spacing w:after="0" w:line="240" w:lineRule="auto"/>
        <w:ind w:left="851" w:right="902"/>
        <w:jc w:val="both"/>
        <w:rPr>
          <w:rFonts w:ascii="Palatino Linotype" w:hAnsi="Palatino Linotype"/>
          <w:i/>
          <w:lang w:eastAsia="es-MX"/>
        </w:rPr>
      </w:pPr>
      <w:r w:rsidRPr="00ED1FDA">
        <w:rPr>
          <w:rFonts w:ascii="Palatino Linotype" w:hAnsi="Palatino Linotype"/>
          <w:i/>
          <w:lang w:eastAsia="es-MX"/>
        </w:rPr>
        <w:t>En el supuesto de que el laudo mencionado en el inciso a) no haya causado estado, el sujeto obligado deberá emitir el acuerdo en donde se clasifique como reservada la información solicitada por el recurrente.</w:t>
      </w:r>
    </w:p>
    <w:p w:rsidR="007B3F24" w:rsidRPr="00ED1FDA" w:rsidRDefault="00ED1FDA" w:rsidP="003F11EE">
      <w:pPr>
        <w:pStyle w:val="Prrafodelista"/>
        <w:spacing w:after="0" w:line="240" w:lineRule="auto"/>
        <w:ind w:left="851" w:right="902"/>
        <w:contextualSpacing w:val="0"/>
        <w:jc w:val="both"/>
        <w:rPr>
          <w:rFonts w:ascii="Palatino Linotype" w:eastAsia="Times New Roman" w:hAnsi="Palatino Linotype" w:cs="Times New Roman"/>
          <w:b/>
          <w:i/>
          <w:lang w:val="es-ES" w:eastAsia="es-ES"/>
        </w:rPr>
      </w:pPr>
      <w:r w:rsidRPr="00ED1FDA">
        <w:rPr>
          <w:rFonts w:ascii="Palatino Linotype" w:hAnsi="Palatino Linotype"/>
          <w:b/>
          <w:i/>
          <w:lang w:eastAsia="es-MX"/>
        </w:rPr>
        <w:t>En el caso en que no se encuentre la documentación señalada en el inciso a), bastará con que así lo manifieste.</w:t>
      </w:r>
    </w:p>
    <w:p w:rsidR="00114896" w:rsidRPr="00114896" w:rsidRDefault="00222D15" w:rsidP="003F11EE">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w:t>
      </w:r>
      <w:r w:rsidR="00725933">
        <w:rPr>
          <w:rFonts w:ascii="Palatino Linotype" w:hAnsi="Palatino Linotype" w:cs="Arial"/>
          <w:sz w:val="24"/>
          <w:szCs w:val="24"/>
        </w:rPr>
        <w:t xml:space="preserve"> </w:t>
      </w:r>
      <w:r w:rsidR="003A49AA">
        <w:rPr>
          <w:rFonts w:ascii="Palatino Linotype" w:hAnsi="Palatino Linotype" w:cs="Arial"/>
          <w:sz w:val="24"/>
          <w:szCs w:val="24"/>
        </w:rPr>
        <w:t>difiero</w:t>
      </w:r>
      <w:r w:rsidR="00D93B99">
        <w:rPr>
          <w:rFonts w:ascii="Palatino Linotype" w:hAnsi="Palatino Linotype" w:cs="Arial"/>
          <w:sz w:val="24"/>
          <w:szCs w:val="24"/>
        </w:rPr>
        <w:t xml:space="preserve"> respecto</w:t>
      </w:r>
      <w:r w:rsidR="003A49AA">
        <w:rPr>
          <w:rFonts w:ascii="Palatino Linotype" w:hAnsi="Palatino Linotype" w:cs="Arial"/>
          <w:sz w:val="24"/>
          <w:szCs w:val="24"/>
        </w:rPr>
        <w:t xml:space="preserve"> </w:t>
      </w:r>
      <w:r w:rsidR="004476C4">
        <w:rPr>
          <w:rFonts w:ascii="Palatino Linotype" w:hAnsi="Palatino Linotype" w:cs="Arial"/>
          <w:sz w:val="24"/>
          <w:szCs w:val="24"/>
        </w:rPr>
        <w:t>a lo ordenado en el último párrafo del Resolutivo SEGUNDO</w:t>
      </w:r>
      <w:r w:rsidR="00D611DA">
        <w:rPr>
          <w:rFonts w:ascii="Palatino Linotype" w:hAnsi="Palatino Linotype" w:cs="Arial"/>
          <w:sz w:val="24"/>
          <w:szCs w:val="24"/>
        </w:rPr>
        <w:t>.</w:t>
      </w:r>
    </w:p>
    <w:p w:rsidR="002C7259" w:rsidRDefault="00725933" w:rsidP="003F11EE">
      <w:pPr>
        <w:spacing w:before="100" w:beforeAutospacing="1" w:after="100" w:afterAutospacing="1" w:line="360" w:lineRule="auto"/>
        <w:ind w:right="49"/>
        <w:jc w:val="both"/>
        <w:rPr>
          <w:rFonts w:ascii="Palatino Linotype" w:hAnsi="Palatino Linotype"/>
          <w:sz w:val="24"/>
        </w:rPr>
      </w:pPr>
      <w:r>
        <w:rPr>
          <w:rFonts w:ascii="Palatino Linotype" w:hAnsi="Palatino Linotype" w:cs="Arial"/>
          <w:sz w:val="24"/>
          <w:szCs w:val="24"/>
        </w:rPr>
        <w:t xml:space="preserve">Lo anterior es así, en virtud </w:t>
      </w:r>
      <w:r w:rsidR="00F76A99">
        <w:rPr>
          <w:rFonts w:ascii="Palatino Linotype" w:hAnsi="Palatino Linotype" w:cs="Arial"/>
          <w:sz w:val="24"/>
          <w:szCs w:val="24"/>
        </w:rPr>
        <w:t xml:space="preserve">de </w:t>
      </w:r>
      <w:r w:rsidR="00D611DA">
        <w:rPr>
          <w:rFonts w:ascii="Palatino Linotype" w:hAnsi="Palatino Linotype" w:cs="Arial"/>
          <w:sz w:val="24"/>
          <w:szCs w:val="24"/>
        </w:rPr>
        <w:t xml:space="preserve">que </w:t>
      </w:r>
      <w:r w:rsidR="00D53D2E">
        <w:rPr>
          <w:rFonts w:ascii="Palatino Linotype" w:hAnsi="Palatino Linotype" w:cs="Arial"/>
          <w:sz w:val="24"/>
          <w:szCs w:val="24"/>
        </w:rPr>
        <w:t xml:space="preserve">la </w:t>
      </w:r>
      <w:r w:rsidR="004476C4">
        <w:rPr>
          <w:rFonts w:ascii="Palatino Linotype" w:hAnsi="Palatino Linotype" w:cs="Arial"/>
          <w:sz w:val="24"/>
          <w:szCs w:val="24"/>
        </w:rPr>
        <w:t xml:space="preserve">Ponencia </w:t>
      </w:r>
      <w:proofErr w:type="spellStart"/>
      <w:r w:rsidR="004476C4">
        <w:rPr>
          <w:rFonts w:ascii="Palatino Linotype" w:hAnsi="Palatino Linotype" w:cs="Arial"/>
          <w:sz w:val="24"/>
          <w:szCs w:val="24"/>
        </w:rPr>
        <w:t>Resolutora</w:t>
      </w:r>
      <w:proofErr w:type="spellEnd"/>
      <w:r w:rsidR="004476C4">
        <w:rPr>
          <w:rFonts w:ascii="Palatino Linotype" w:hAnsi="Palatino Linotype" w:cs="Arial"/>
          <w:sz w:val="24"/>
          <w:szCs w:val="24"/>
        </w:rPr>
        <w:t xml:space="preserve"> no incluyera en su </w:t>
      </w:r>
      <w:r w:rsidR="005F09E2">
        <w:rPr>
          <w:rFonts w:ascii="Palatino Linotype" w:hAnsi="Palatino Linotype" w:cs="Arial"/>
          <w:sz w:val="24"/>
          <w:szCs w:val="24"/>
        </w:rPr>
        <w:t xml:space="preserve">último </w:t>
      </w:r>
      <w:r w:rsidR="004476C4">
        <w:rPr>
          <w:rFonts w:ascii="Palatino Linotype" w:hAnsi="Palatino Linotype" w:cs="Arial"/>
          <w:sz w:val="24"/>
          <w:szCs w:val="24"/>
        </w:rPr>
        <w:t xml:space="preserve">párrafo </w:t>
      </w:r>
      <w:r w:rsidR="005A704F">
        <w:rPr>
          <w:rFonts w:ascii="Palatino Linotype" w:hAnsi="Palatino Linotype" w:cs="Arial"/>
          <w:sz w:val="24"/>
          <w:szCs w:val="24"/>
        </w:rPr>
        <w:t>“</w:t>
      </w:r>
      <w:r w:rsidR="00FD0634">
        <w:rPr>
          <w:rFonts w:ascii="Palatino Linotype" w:hAnsi="Palatino Linotype" w:cs="Arial"/>
          <w:sz w:val="24"/>
          <w:szCs w:val="24"/>
        </w:rPr>
        <w:t xml:space="preserve">derivado de </w:t>
      </w:r>
      <w:r w:rsidR="004476C4">
        <w:rPr>
          <w:rFonts w:ascii="Palatino Linotype" w:hAnsi="Palatino Linotype" w:cs="Arial"/>
          <w:sz w:val="24"/>
          <w:szCs w:val="24"/>
        </w:rPr>
        <w:t>no haberse generado la información</w:t>
      </w:r>
      <w:r w:rsidR="005A704F">
        <w:rPr>
          <w:rFonts w:ascii="Palatino Linotype" w:hAnsi="Palatino Linotype" w:cs="Arial"/>
          <w:sz w:val="24"/>
          <w:szCs w:val="24"/>
        </w:rPr>
        <w:t>” a fin de complementar lo ordenado</w:t>
      </w:r>
      <w:r w:rsidR="005F09E2">
        <w:rPr>
          <w:rFonts w:ascii="Palatino Linotype" w:hAnsi="Palatino Linotype" w:cs="Arial"/>
          <w:sz w:val="24"/>
          <w:szCs w:val="24"/>
        </w:rPr>
        <w:t>,</w:t>
      </w:r>
      <w:r w:rsidR="005A704F">
        <w:rPr>
          <w:rFonts w:ascii="Palatino Linotype" w:hAnsi="Palatino Linotype" w:cs="Arial"/>
          <w:sz w:val="24"/>
          <w:szCs w:val="24"/>
        </w:rPr>
        <w:t xml:space="preserve"> por ello</w:t>
      </w:r>
      <w:r w:rsidR="005F09E2">
        <w:rPr>
          <w:rFonts w:ascii="Palatino Linotype" w:hAnsi="Palatino Linotype" w:cs="Arial"/>
          <w:sz w:val="24"/>
          <w:szCs w:val="24"/>
        </w:rPr>
        <w:t xml:space="preserve"> </w:t>
      </w:r>
      <w:r w:rsidR="005A704F">
        <w:rPr>
          <w:rFonts w:ascii="Palatino Linotype" w:hAnsi="Palatino Linotype" w:cs="Arial"/>
          <w:sz w:val="24"/>
          <w:szCs w:val="24"/>
        </w:rPr>
        <w:t xml:space="preserve">es que a criterio de la suscrita en términos del artículo 9, fracciones I, VII y VIII de la Ley de Transparencia y Acceso a la Información Pública del Estado de México y Municipios, </w:t>
      </w:r>
      <w:r w:rsidR="002C7259">
        <w:rPr>
          <w:rFonts w:ascii="Palatino Linotype" w:hAnsi="Palatino Linotype" w:cs="Arial"/>
          <w:sz w:val="24"/>
          <w:szCs w:val="24"/>
        </w:rPr>
        <w:t xml:space="preserve">la Ponencia </w:t>
      </w:r>
      <w:proofErr w:type="spellStart"/>
      <w:r w:rsidR="002C7259">
        <w:rPr>
          <w:rFonts w:ascii="Palatino Linotype" w:hAnsi="Palatino Linotype" w:cs="Arial"/>
          <w:sz w:val="24"/>
          <w:szCs w:val="24"/>
        </w:rPr>
        <w:t>Resolutora</w:t>
      </w:r>
      <w:proofErr w:type="spellEnd"/>
      <w:r w:rsidR="002C7259">
        <w:rPr>
          <w:rFonts w:ascii="Palatino Linotype" w:hAnsi="Palatino Linotype" w:cs="Arial"/>
          <w:sz w:val="24"/>
          <w:szCs w:val="24"/>
        </w:rPr>
        <w:t xml:space="preserve"> debió precisar en la salvedad </w:t>
      </w:r>
      <w:r w:rsidR="00FD0634">
        <w:rPr>
          <w:rFonts w:ascii="Palatino Linotype" w:hAnsi="Palatino Linotype" w:cs="Arial"/>
          <w:sz w:val="24"/>
          <w:szCs w:val="24"/>
        </w:rPr>
        <w:t>establecida</w:t>
      </w:r>
      <w:r w:rsidR="002C7259">
        <w:rPr>
          <w:rFonts w:ascii="Palatino Linotype" w:hAnsi="Palatino Linotype" w:cs="Arial"/>
          <w:sz w:val="24"/>
          <w:szCs w:val="24"/>
        </w:rPr>
        <w:t xml:space="preserve"> en el Resolutivo Segundo que para el caso en que no se encuentre la documentación señalada en el inciso a), basta</w:t>
      </w:r>
      <w:r w:rsidR="00FD0634">
        <w:rPr>
          <w:rFonts w:ascii="Palatino Linotype" w:hAnsi="Palatino Linotype" w:cs="Arial"/>
          <w:sz w:val="24"/>
          <w:szCs w:val="24"/>
        </w:rPr>
        <w:t>ría</w:t>
      </w:r>
      <w:r w:rsidR="002C7259">
        <w:rPr>
          <w:rFonts w:ascii="Palatino Linotype" w:hAnsi="Palatino Linotype" w:cs="Arial"/>
          <w:sz w:val="24"/>
          <w:szCs w:val="24"/>
        </w:rPr>
        <w:t xml:space="preserve"> con que así lo manifieste por no haberse generado la información</w:t>
      </w:r>
      <w:r w:rsidR="00D53D2E">
        <w:rPr>
          <w:rFonts w:ascii="Palatino Linotype" w:hAnsi="Palatino Linotype" w:cs="Arial"/>
          <w:sz w:val="24"/>
          <w:szCs w:val="24"/>
        </w:rPr>
        <w:t xml:space="preserve">; en ese sentido, </w:t>
      </w:r>
      <w:r w:rsidR="00D611DA">
        <w:rPr>
          <w:rFonts w:ascii="Palatino Linotype" w:hAnsi="Palatino Linotype" w:cs="Arial"/>
          <w:sz w:val="24"/>
          <w:szCs w:val="24"/>
        </w:rPr>
        <w:t>y a</w:t>
      </w:r>
      <w:r w:rsidR="00D53D2E">
        <w:rPr>
          <w:rFonts w:ascii="Palatino Linotype" w:hAnsi="Palatino Linotype"/>
          <w:sz w:val="24"/>
        </w:rPr>
        <w:t xml:space="preserve"> fin de robustecer lo expuesto</w:t>
      </w:r>
      <w:r w:rsidR="00E86256" w:rsidRPr="00F5354F">
        <w:rPr>
          <w:rFonts w:ascii="Palatino Linotype" w:hAnsi="Palatino Linotype"/>
          <w:sz w:val="24"/>
        </w:rPr>
        <w:t xml:space="preserve"> conviene citar </w:t>
      </w:r>
      <w:r w:rsidR="002C7259">
        <w:rPr>
          <w:rFonts w:ascii="Palatino Linotype" w:hAnsi="Palatino Linotype"/>
          <w:sz w:val="24"/>
        </w:rPr>
        <w:t xml:space="preserve">los preceptos que se transcriben a continuación: </w:t>
      </w:r>
    </w:p>
    <w:p w:rsidR="002C7259" w:rsidRPr="00933F8A" w:rsidRDefault="002C7259" w:rsidP="003F11EE">
      <w:pPr>
        <w:spacing w:after="0" w:line="240" w:lineRule="auto"/>
        <w:ind w:left="851" w:right="902"/>
        <w:jc w:val="both"/>
        <w:rPr>
          <w:rFonts w:ascii="Palatino Linotype" w:hAnsi="Palatino Linotype" w:cs="Arial"/>
          <w:b/>
          <w:bCs/>
          <w:i/>
        </w:rPr>
      </w:pPr>
      <w:r>
        <w:rPr>
          <w:rFonts w:ascii="Palatino Linotype" w:hAnsi="Palatino Linotype" w:cs="Arial"/>
          <w:b/>
          <w:bCs/>
          <w:i/>
        </w:rPr>
        <w:t>“</w:t>
      </w:r>
      <w:r w:rsidRPr="00933F8A">
        <w:rPr>
          <w:rFonts w:ascii="Palatino Linotype" w:hAnsi="Palatino Linotype" w:cs="Arial"/>
          <w:b/>
          <w:bCs/>
          <w:i/>
        </w:rPr>
        <w:t>Artículo 9. El Instituto deberá regir su funcionamiento de acuerdo a los siguientes principios:</w:t>
      </w:r>
    </w:p>
    <w:p w:rsidR="002C7259" w:rsidRDefault="002C7259" w:rsidP="003F11EE">
      <w:pPr>
        <w:spacing w:after="0" w:line="240" w:lineRule="auto"/>
        <w:ind w:left="851" w:right="902"/>
        <w:jc w:val="both"/>
        <w:rPr>
          <w:rFonts w:ascii="Palatino Linotype" w:hAnsi="Palatino Linotype" w:cs="Arial"/>
          <w:b/>
          <w:bCs/>
          <w:i/>
        </w:rPr>
      </w:pPr>
      <w:r w:rsidRPr="00933F8A">
        <w:rPr>
          <w:rFonts w:ascii="Palatino Linotype" w:hAnsi="Palatino Linotype" w:cs="Arial"/>
          <w:b/>
          <w:bCs/>
          <w:i/>
        </w:rPr>
        <w:t>I. Certeza:</w:t>
      </w:r>
      <w:r w:rsidRPr="00933F8A">
        <w:rPr>
          <w:rFonts w:ascii="Palatino Linotype" w:hAnsi="Palatino Linotype" w:cs="Arial"/>
          <w:bCs/>
          <w:i/>
        </w:rPr>
        <w:t xml:space="preserve"> </w:t>
      </w:r>
      <w:r w:rsidRPr="00933F8A">
        <w:rPr>
          <w:rFonts w:ascii="Palatino Linotype" w:hAnsi="Palatino Linotype" w:cs="Arial"/>
          <w:b/>
          <w:bCs/>
          <w:i/>
        </w:rPr>
        <w:t>Principio que otorga seguridad y certidumbre jurídica a los particulares, en virtud de que permite conocer si las acciones</w:t>
      </w:r>
      <w:r w:rsidRPr="006807DD">
        <w:rPr>
          <w:rFonts w:ascii="Palatino Linotype" w:hAnsi="Palatino Linotype" w:cs="Arial"/>
          <w:b/>
          <w:bCs/>
          <w:i/>
        </w:rPr>
        <w:t xml:space="preserve"> del Instituto </w:t>
      </w:r>
      <w:r w:rsidRPr="006807DD">
        <w:rPr>
          <w:rFonts w:ascii="Palatino Linotype" w:hAnsi="Palatino Linotype" w:cs="Arial"/>
          <w:b/>
          <w:bCs/>
          <w:i/>
        </w:rPr>
        <w:lastRenderedPageBreak/>
        <w:t xml:space="preserve">son apegadas a derecho y garantiza que los procedimientos sean completamente verificables, fidedignos y confiables; </w:t>
      </w:r>
    </w:p>
    <w:p w:rsidR="002C7259" w:rsidRPr="006807DD" w:rsidRDefault="002C7259" w:rsidP="003F11EE">
      <w:pPr>
        <w:spacing w:after="0" w:line="240" w:lineRule="auto"/>
        <w:ind w:left="851" w:right="902"/>
        <w:jc w:val="both"/>
        <w:rPr>
          <w:rFonts w:ascii="Palatino Linotype" w:hAnsi="Palatino Linotype" w:cs="Arial"/>
          <w:b/>
          <w:bCs/>
          <w:i/>
        </w:rPr>
      </w:pPr>
      <w:r>
        <w:rPr>
          <w:rFonts w:ascii="Palatino Linotype" w:hAnsi="Palatino Linotype" w:cs="Arial"/>
          <w:b/>
          <w:bCs/>
          <w:i/>
        </w:rPr>
        <w:t>…</w:t>
      </w:r>
    </w:p>
    <w:p w:rsidR="002C7259" w:rsidRDefault="002C7259" w:rsidP="003F11EE">
      <w:pPr>
        <w:spacing w:after="0" w:line="240" w:lineRule="auto"/>
        <w:ind w:left="851" w:right="902"/>
        <w:jc w:val="both"/>
        <w:rPr>
          <w:rFonts w:ascii="Palatino Linotype" w:hAnsi="Palatino Linotype" w:cs="Arial"/>
          <w:b/>
          <w:bCs/>
          <w:i/>
        </w:rPr>
      </w:pPr>
      <w:r w:rsidRPr="006807DD">
        <w:rPr>
          <w:rFonts w:ascii="Palatino Linotype" w:hAnsi="Palatino Linotype" w:cs="Arial"/>
          <w:b/>
          <w:bCs/>
          <w:i/>
        </w:rPr>
        <w:t xml:space="preserve">VII. Máxima Publicidad: Toda la información en posesión de los sujetos obligados será pública, completa, oportuna y accesible, sujeta a un claro régimen de excepciones que deberán estar definidas y ser además legítimas y estrictamente necesarias en una sociedad democrática; </w:t>
      </w:r>
    </w:p>
    <w:p w:rsidR="002C7259" w:rsidRPr="006807DD" w:rsidRDefault="002C7259" w:rsidP="003F11EE">
      <w:pPr>
        <w:spacing w:after="0" w:line="240" w:lineRule="auto"/>
        <w:ind w:left="851" w:right="902"/>
        <w:jc w:val="both"/>
        <w:rPr>
          <w:rFonts w:ascii="Palatino Linotype" w:hAnsi="Palatino Linotype" w:cs="Arial"/>
          <w:b/>
          <w:bCs/>
          <w:i/>
        </w:rPr>
      </w:pPr>
      <w:r w:rsidRPr="006807DD">
        <w:rPr>
          <w:rFonts w:ascii="Palatino Linotype" w:hAnsi="Palatino Linotype" w:cs="Arial"/>
          <w:b/>
          <w:bCs/>
          <w:i/>
        </w:rPr>
        <w:t xml:space="preserve">VIII. Objetividad: Obligación del Instituto de ajustar su actuación a los presupuestos de ley que deben ser aplicados al analizar el caso en concreto y resolver todos los hechos, prescindiendo de las consideraciones y criterios personales; </w:t>
      </w:r>
    </w:p>
    <w:p w:rsidR="002C7259" w:rsidRPr="00444E6E"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w:t>
      </w:r>
    </w:p>
    <w:p w:rsidR="002C7259" w:rsidRPr="00444E6E"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(Énfasis añadido)</w:t>
      </w:r>
    </w:p>
    <w:p w:rsidR="002C7259" w:rsidRPr="003F11EE" w:rsidRDefault="002C7259" w:rsidP="003F11EE">
      <w:pPr>
        <w:spacing w:before="100" w:beforeAutospacing="1" w:after="100" w:afterAutospacing="1" w:line="360" w:lineRule="auto"/>
        <w:jc w:val="both"/>
        <w:rPr>
          <w:rFonts w:ascii="Palatino Linotype" w:hAnsi="Palatino Linotype" w:cs="Arial"/>
          <w:sz w:val="24"/>
          <w:szCs w:val="24"/>
        </w:rPr>
      </w:pPr>
      <w:r w:rsidRPr="003F11EE">
        <w:rPr>
          <w:rFonts w:ascii="Palatino Linotype" w:hAnsi="Palatino Linotype"/>
          <w:sz w:val="24"/>
          <w:szCs w:val="24"/>
        </w:rPr>
        <w:t xml:space="preserve">A fin de robustecer lo expuesto, conviene citar </w:t>
      </w:r>
      <w:r w:rsidRPr="003F11EE">
        <w:rPr>
          <w:rFonts w:ascii="Palatino Linotype" w:hAnsi="Palatino Linotype"/>
          <w:sz w:val="24"/>
          <w:szCs w:val="24"/>
          <w:lang w:eastAsia="es-MX"/>
        </w:rPr>
        <w:t xml:space="preserve">la </w:t>
      </w:r>
      <w:r w:rsidRPr="003F11EE">
        <w:rPr>
          <w:rFonts w:ascii="Palatino Linotype" w:hAnsi="Palatino Linotype" w:cs="Arial"/>
          <w:sz w:val="24"/>
          <w:szCs w:val="24"/>
        </w:rPr>
        <w:t>tesis 1a. CCCXXVII/2014 (10a.) emitida por la Primera Sala de la Suprema Corte de Justicia de la Nación, cuyo tenor es el siguiente:</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Época: Décima Época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Registro: 2007561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Instancia: Primera Sala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Tipo de Tesis: Aislada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Fuente: Gaceta del Semanario Judicial de la Federación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Libro 11, Octubre de 2014, Tomo I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Materia(s): Constitucional, Común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Tesis: 1a. CCCXXVII/2014 (10a.) </w:t>
      </w:r>
    </w:p>
    <w:p w:rsidR="002C7259" w:rsidRDefault="002C7259" w:rsidP="003F11EE">
      <w:pPr>
        <w:spacing w:after="0" w:line="240" w:lineRule="auto"/>
        <w:ind w:left="851" w:right="902"/>
        <w:jc w:val="both"/>
        <w:rPr>
          <w:rFonts w:ascii="Palatino Linotype" w:hAnsi="Palatino Linotype" w:cs="Arial"/>
          <w:bCs/>
          <w:i/>
        </w:rPr>
      </w:pPr>
      <w:r>
        <w:rPr>
          <w:rFonts w:ascii="Palatino Linotype" w:hAnsi="Palatino Linotype" w:cs="Arial"/>
          <w:bCs/>
          <w:i/>
        </w:rPr>
        <w:t xml:space="preserve">Página: 613 </w:t>
      </w:r>
    </w:p>
    <w:p w:rsidR="002C7259" w:rsidRDefault="002C7259" w:rsidP="003F11EE">
      <w:pPr>
        <w:spacing w:after="0" w:line="240" w:lineRule="auto"/>
        <w:ind w:left="851" w:right="899"/>
        <w:jc w:val="both"/>
        <w:rPr>
          <w:rFonts w:ascii="Palatino Linotype" w:hAnsi="Palatino Linotype" w:cs="Arial"/>
          <w:b/>
          <w:bCs/>
          <w:i/>
        </w:rPr>
      </w:pPr>
      <w:r>
        <w:rPr>
          <w:rFonts w:ascii="Palatino Linotype" w:hAnsi="Palatino Linotype" w:cs="Arial"/>
          <w:b/>
          <w:bCs/>
          <w:i/>
        </w:rPr>
        <w:t>“PRINCIPIO PRO PERSONA. REQUISITOS MÍNIMOS PARA QUE SE ATIENDA EL FONDO DE LA SOLICITUD DE SU APLICACIÓN, O LA IMPUGNACIÓN DE SU OMISIÓN POR LA AUTORIDAD RESPONSABLE.</w:t>
      </w:r>
    </w:p>
    <w:p w:rsidR="002C7259" w:rsidRDefault="002C7259" w:rsidP="003F11EE">
      <w:pPr>
        <w:spacing w:after="0" w:line="240" w:lineRule="auto"/>
        <w:ind w:left="851" w:right="899"/>
        <w:jc w:val="both"/>
        <w:rPr>
          <w:rFonts w:ascii="Palatino Linotype" w:hAnsi="Palatino Linotype" w:cs="Arial"/>
          <w:bCs/>
          <w:i/>
        </w:rPr>
      </w:pPr>
      <w:r>
        <w:rPr>
          <w:rFonts w:ascii="Palatino Linotype" w:hAnsi="Palatino Linotype" w:cs="Arial"/>
          <w:b/>
          <w:bCs/>
          <w:i/>
        </w:rPr>
        <w:t>El artículo 1o. de la Constitución</w:t>
      </w:r>
      <w:r>
        <w:rPr>
          <w:rFonts w:ascii="Palatino Linotype" w:hAnsi="Palatino Linotype" w:cs="Arial"/>
          <w:bCs/>
          <w:i/>
        </w:rPr>
        <w:t xml:space="preserve"> Política de los Estados Unidos Mexicanos </w:t>
      </w:r>
      <w:r>
        <w:rPr>
          <w:rFonts w:ascii="Palatino Linotype" w:hAnsi="Palatino Linotype" w:cs="Arial"/>
          <w:b/>
          <w:bCs/>
          <w:i/>
        </w:rPr>
        <w:t>impone a las autoridades el deber de aplicar el principio pro persona como un criterio de interpretación de las normas relativas a derechos humanos</w:t>
      </w:r>
      <w:r>
        <w:rPr>
          <w:rFonts w:ascii="Palatino Linotype" w:hAnsi="Palatino Linotype" w:cs="Arial"/>
          <w:bCs/>
          <w:i/>
        </w:rPr>
        <w:t xml:space="preserve">, el </w:t>
      </w:r>
      <w:r>
        <w:rPr>
          <w:rFonts w:ascii="Palatino Linotype" w:hAnsi="Palatino Linotype" w:cs="Arial"/>
          <w:bCs/>
          <w:i/>
        </w:rPr>
        <w:lastRenderedPageBreak/>
        <w:t xml:space="preserve">cual </w:t>
      </w:r>
      <w:r>
        <w:rPr>
          <w:rFonts w:ascii="Palatino Linotype" w:hAnsi="Palatino Linotype" w:cs="Arial"/>
          <w:b/>
          <w:bCs/>
          <w:i/>
        </w:rPr>
        <w:t>busca maximizar</w:t>
      </w:r>
      <w:r>
        <w:rPr>
          <w:rFonts w:ascii="Palatino Linotype" w:hAnsi="Palatino Linotype" w:cs="Arial"/>
          <w:bCs/>
          <w:i/>
        </w:rPr>
        <w:t xml:space="preserve"> su vigencia y respeto, para optar por </w:t>
      </w:r>
      <w:r>
        <w:rPr>
          <w:rFonts w:ascii="Palatino Linotype" w:hAnsi="Palatino Linotype" w:cs="Arial"/>
          <w:b/>
          <w:bCs/>
          <w:i/>
        </w:rPr>
        <w:t>la aplicación o interpretación de la norma que los favorezca en mayor medida</w:t>
      </w:r>
      <w:r>
        <w:rPr>
          <w:rFonts w:ascii="Palatino Linotype" w:hAnsi="Palatino Linotype" w:cs="Arial"/>
          <w:bCs/>
          <w:i/>
        </w:rPr>
        <w:t xml:space="preserve">, o bien, que implique menores restricciones a su ejercicio. Así, como deber, se entiende que dicho principio </w:t>
      </w:r>
      <w:r>
        <w:rPr>
          <w:rFonts w:ascii="Palatino Linotype" w:hAnsi="Palatino Linotype" w:cs="Arial"/>
          <w:b/>
          <w:bCs/>
          <w:i/>
        </w:rPr>
        <w:t>es aplicable de oficio</w:t>
      </w:r>
      <w:r>
        <w:rPr>
          <w:rFonts w:ascii="Palatino Linotype" w:hAnsi="Palatino Linotype" w:cs="Arial"/>
          <w:bCs/>
          <w:i/>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Pr>
          <w:rFonts w:ascii="Palatino Linotype" w:hAnsi="Palatino Linotype" w:cs="Arial"/>
          <w:bCs/>
          <w:i/>
        </w:rPr>
        <w:t>pro</w:t>
      </w:r>
      <w:proofErr w:type="spellEnd"/>
      <w:r>
        <w:rPr>
          <w:rFonts w:ascii="Palatino Linotype" w:hAnsi="Palatino Linotype" w:cs="Arial"/>
          <w:bCs/>
          <w:i/>
        </w:rPr>
        <w:t xml:space="preserve"> persona, pues </w:t>
      </w:r>
      <w:r>
        <w:rPr>
          <w:rFonts w:ascii="Palatino Linotype" w:hAnsi="Palatino Linotype" w:cs="Arial"/>
          <w:b/>
          <w:bCs/>
          <w:i/>
        </w:rPr>
        <w:t>para realizarlo debe conocerse cuál es el derecho humano que se busca maximizar</w:t>
      </w:r>
      <w:r>
        <w:rPr>
          <w:rFonts w:ascii="Palatino Linotype" w:hAnsi="Palatino Linotype" w:cs="Arial"/>
          <w:bCs/>
          <w:i/>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bookmarkStart w:id="0" w:name="_GoBack"/>
      <w:bookmarkEnd w:id="0"/>
    </w:p>
    <w:p w:rsidR="00866C94" w:rsidRDefault="00CA0687" w:rsidP="003F11EE">
      <w:pPr>
        <w:spacing w:before="100" w:beforeAutospacing="1" w:after="100" w:afterAutospacing="1" w:line="360" w:lineRule="auto"/>
        <w:ind w:right="49"/>
        <w:jc w:val="both"/>
        <w:rPr>
          <w:rFonts w:ascii="Palatino Linotype" w:hAnsi="Palatino Linotype" w:cs="Arial"/>
          <w:sz w:val="24"/>
          <w:szCs w:val="24"/>
        </w:rPr>
      </w:pPr>
      <w:r>
        <w:rPr>
          <w:rFonts w:ascii="Palatino Linotype" w:hAnsi="Palatino Linotype" w:cs="Arial"/>
          <w:sz w:val="24"/>
          <w:szCs w:val="24"/>
        </w:rPr>
        <w:t xml:space="preserve">Es por lo anteriormente expuesto que, la suscrita emite </w:t>
      </w:r>
      <w:r>
        <w:rPr>
          <w:rFonts w:ascii="Palatino Linotype" w:hAnsi="Palatino Linotype" w:cs="Arial"/>
          <w:b/>
          <w:sz w:val="24"/>
          <w:szCs w:val="24"/>
        </w:rPr>
        <w:t>VOTO PARTIC</w:t>
      </w:r>
      <w:r w:rsidR="003746E8">
        <w:rPr>
          <w:rFonts w:ascii="Palatino Linotype" w:hAnsi="Palatino Linotype" w:cs="Arial"/>
          <w:b/>
          <w:sz w:val="24"/>
          <w:szCs w:val="24"/>
        </w:rPr>
        <w:t xml:space="preserve">ULAR </w:t>
      </w:r>
      <w:r w:rsidR="00222D15" w:rsidRPr="009F71D8">
        <w:rPr>
          <w:rFonts w:ascii="Palatino Linotype" w:hAnsi="Palatino Linotype" w:cs="Arial"/>
          <w:sz w:val="24"/>
          <w:szCs w:val="24"/>
        </w:rPr>
        <w:t>pues se</w:t>
      </w:r>
      <w:r w:rsidR="00222D15">
        <w:rPr>
          <w:rFonts w:ascii="Palatino Linotype" w:hAnsi="Palatino Linotype" w:cs="Arial"/>
          <w:sz w:val="24"/>
          <w:szCs w:val="24"/>
        </w:rPr>
        <w:t xml:space="preserve"> insiste </w:t>
      </w:r>
      <w:r w:rsidR="003746E8">
        <w:rPr>
          <w:rFonts w:ascii="Palatino Linotype" w:hAnsi="Palatino Linotype" w:cs="Arial"/>
          <w:sz w:val="24"/>
          <w:szCs w:val="24"/>
        </w:rPr>
        <w:t xml:space="preserve">que la Ponencia </w:t>
      </w:r>
      <w:proofErr w:type="spellStart"/>
      <w:r w:rsidR="003746E8">
        <w:rPr>
          <w:rFonts w:ascii="Palatino Linotype" w:hAnsi="Palatino Linotype" w:cs="Arial"/>
          <w:sz w:val="24"/>
          <w:szCs w:val="24"/>
        </w:rPr>
        <w:t>Resolutora</w:t>
      </w:r>
      <w:proofErr w:type="spellEnd"/>
      <w:r w:rsidR="0052778F">
        <w:rPr>
          <w:rFonts w:ascii="Palatino Linotype" w:hAnsi="Palatino Linotype" w:cs="Arial"/>
          <w:sz w:val="24"/>
          <w:szCs w:val="24"/>
        </w:rPr>
        <w:t xml:space="preserve"> </w:t>
      </w:r>
      <w:r w:rsidR="009E71E2">
        <w:rPr>
          <w:rFonts w:ascii="Palatino Linotype" w:hAnsi="Palatino Linotype" w:cs="Arial"/>
          <w:sz w:val="24"/>
          <w:szCs w:val="24"/>
        </w:rPr>
        <w:t xml:space="preserve">debió </w:t>
      </w:r>
      <w:r w:rsidR="002C7259">
        <w:rPr>
          <w:rFonts w:ascii="Palatino Linotype" w:hAnsi="Palatino Linotype" w:cs="Arial"/>
          <w:sz w:val="24"/>
          <w:szCs w:val="24"/>
        </w:rPr>
        <w:t xml:space="preserve">incluir en la salvedad </w:t>
      </w:r>
      <w:r w:rsidR="00FD0634">
        <w:rPr>
          <w:rFonts w:ascii="Palatino Linotype" w:hAnsi="Palatino Linotype" w:cs="Arial"/>
          <w:sz w:val="24"/>
          <w:szCs w:val="24"/>
        </w:rPr>
        <w:t>lo siguiente</w:t>
      </w:r>
      <w:r w:rsidR="003F11EE">
        <w:rPr>
          <w:rFonts w:ascii="Palatino Linotype" w:hAnsi="Palatino Linotype" w:cs="Arial"/>
          <w:sz w:val="24"/>
          <w:szCs w:val="24"/>
        </w:rPr>
        <w:t xml:space="preserve"> “por no haberse generado la información“, esto en </w:t>
      </w:r>
      <w:r w:rsidR="00A10810">
        <w:rPr>
          <w:rFonts w:ascii="Palatino Linotype" w:hAnsi="Palatino Linotype" w:cs="Arial"/>
          <w:sz w:val="24"/>
          <w:szCs w:val="24"/>
        </w:rPr>
        <w:t>atención a l</w:t>
      </w:r>
      <w:r w:rsidR="00D873BD">
        <w:rPr>
          <w:rFonts w:ascii="Palatino Linotype" w:hAnsi="Palatino Linotype" w:cs="Arial"/>
          <w:sz w:val="24"/>
          <w:szCs w:val="24"/>
        </w:rPr>
        <w:t xml:space="preserve">os principios de </w:t>
      </w:r>
      <w:r w:rsidR="003F11EE">
        <w:rPr>
          <w:rFonts w:ascii="Palatino Linotype" w:hAnsi="Palatino Linotype" w:cs="Arial"/>
          <w:sz w:val="24"/>
          <w:szCs w:val="24"/>
        </w:rPr>
        <w:t xml:space="preserve">certeza </w:t>
      </w:r>
      <w:r w:rsidR="00B06BB8">
        <w:rPr>
          <w:rFonts w:ascii="Palatino Linotype" w:hAnsi="Palatino Linotype" w:cs="Arial"/>
          <w:sz w:val="24"/>
          <w:szCs w:val="24"/>
        </w:rPr>
        <w:t xml:space="preserve">y </w:t>
      </w:r>
      <w:r w:rsidR="00B06BB8">
        <w:rPr>
          <w:rFonts w:ascii="Palatino Linotype" w:hAnsi="Palatino Linotype" w:cs="Arial"/>
          <w:sz w:val="24"/>
          <w:szCs w:val="24"/>
        </w:rPr>
        <w:lastRenderedPageBreak/>
        <w:t>objetividad contemplado</w:t>
      </w:r>
      <w:r w:rsidR="00B02E26">
        <w:rPr>
          <w:rFonts w:ascii="Palatino Linotype" w:hAnsi="Palatino Linotype" w:cs="Arial"/>
          <w:sz w:val="24"/>
          <w:szCs w:val="24"/>
        </w:rPr>
        <w:t>s</w:t>
      </w:r>
      <w:r w:rsidR="00A10810">
        <w:rPr>
          <w:rFonts w:ascii="Palatino Linotype" w:hAnsi="Palatino Linotype" w:cs="Arial"/>
          <w:sz w:val="24"/>
          <w:szCs w:val="24"/>
        </w:rPr>
        <w:t xml:space="preserve"> en el artículo </w:t>
      </w:r>
      <w:r w:rsidR="000964FE">
        <w:rPr>
          <w:rFonts w:ascii="Palatino Linotype" w:hAnsi="Palatino Linotype" w:cs="Arial"/>
          <w:sz w:val="24"/>
          <w:szCs w:val="24"/>
        </w:rPr>
        <w:t xml:space="preserve">9 </w:t>
      </w:r>
      <w:r w:rsidR="00A10810">
        <w:rPr>
          <w:rFonts w:ascii="Palatino Linotype" w:hAnsi="Palatino Linotype" w:cs="Arial"/>
          <w:sz w:val="24"/>
          <w:szCs w:val="24"/>
        </w:rPr>
        <w:t xml:space="preserve">de la Ley de </w:t>
      </w:r>
      <w:r w:rsidR="000964FE">
        <w:rPr>
          <w:rFonts w:ascii="Palatino Linotype" w:hAnsi="Palatino Linotype" w:cs="Arial"/>
          <w:sz w:val="24"/>
          <w:szCs w:val="24"/>
        </w:rPr>
        <w:t xml:space="preserve">Transparencia y Acceso a la Información Pública del Estado de México y Municipios. </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A12C36" w:rsidRDefault="00A12C36" w:rsidP="003F11EE">
            <w:pPr>
              <w:spacing w:before="100" w:beforeAutospacing="1" w:after="100" w:afterAutospacing="1" w:line="360" w:lineRule="auto"/>
              <w:ind w:right="51"/>
              <w:jc w:val="center"/>
              <w:rPr>
                <w:rFonts w:ascii="Palatino Linotype" w:hAnsi="Palatino Linotype"/>
                <w:b/>
                <w:sz w:val="24"/>
                <w:szCs w:val="24"/>
              </w:rPr>
            </w:pPr>
          </w:p>
          <w:p w:rsidR="00A12C36" w:rsidRDefault="00A12C36" w:rsidP="003F11EE">
            <w:pPr>
              <w:spacing w:before="100" w:beforeAutospacing="1" w:after="100" w:afterAutospacing="1" w:line="360" w:lineRule="auto"/>
              <w:ind w:right="51"/>
              <w:jc w:val="center"/>
              <w:rPr>
                <w:rFonts w:ascii="Palatino Linotype" w:hAnsi="Palatino Linotype"/>
                <w:b/>
                <w:sz w:val="24"/>
                <w:szCs w:val="24"/>
              </w:rPr>
            </w:pPr>
          </w:p>
          <w:p w:rsidR="006E660E" w:rsidRDefault="006E660E" w:rsidP="003F11EE">
            <w:pPr>
              <w:spacing w:before="100" w:beforeAutospacing="1" w:after="100" w:afterAutospacing="1" w:line="360" w:lineRule="auto"/>
              <w:ind w:right="51"/>
              <w:jc w:val="center"/>
              <w:rPr>
                <w:rFonts w:ascii="Palatino Linotype" w:hAnsi="Palatino Linotype"/>
                <w:b/>
                <w:sz w:val="24"/>
                <w:szCs w:val="24"/>
              </w:rPr>
            </w:pPr>
          </w:p>
          <w:p w:rsidR="006E660E" w:rsidRDefault="006E660E" w:rsidP="003F11EE">
            <w:pPr>
              <w:spacing w:before="100" w:beforeAutospacing="1" w:after="100" w:afterAutospacing="1" w:line="360" w:lineRule="auto"/>
              <w:ind w:right="51"/>
              <w:jc w:val="center"/>
              <w:rPr>
                <w:rFonts w:ascii="Palatino Linotype" w:hAnsi="Palatino Linotype"/>
                <w:b/>
                <w:sz w:val="24"/>
                <w:szCs w:val="24"/>
              </w:rPr>
            </w:pPr>
          </w:p>
          <w:p w:rsidR="00A12C36" w:rsidRDefault="00A12C36" w:rsidP="003F11EE">
            <w:pPr>
              <w:spacing w:before="100" w:beforeAutospacing="1" w:after="100" w:afterAutospacing="1" w:line="360" w:lineRule="auto"/>
              <w:ind w:right="51"/>
              <w:jc w:val="center"/>
              <w:rPr>
                <w:rFonts w:ascii="Palatino Linotype" w:hAnsi="Palatino Linotype"/>
                <w:b/>
                <w:sz w:val="24"/>
                <w:szCs w:val="24"/>
              </w:rPr>
            </w:pPr>
          </w:p>
          <w:p w:rsidR="00222D15" w:rsidRPr="009F71D8" w:rsidRDefault="00222D15" w:rsidP="003F11EE">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3F11EE">
            <w:pPr>
              <w:spacing w:after="0" w:line="240" w:lineRule="auto"/>
              <w:ind w:right="51"/>
              <w:jc w:val="center"/>
              <w:rPr>
                <w:rFonts w:ascii="Palatino Linotype" w:hAnsi="Palatino Linotype"/>
                <w:b/>
                <w:sz w:val="24"/>
                <w:szCs w:val="24"/>
              </w:rPr>
            </w:pPr>
            <w:r w:rsidRPr="009F71D8">
              <w:rPr>
                <w:rFonts w:ascii="Palatino Linotype" w:hAnsi="Palatino Linotype"/>
                <w:b/>
                <w:sz w:val="24"/>
                <w:szCs w:val="24"/>
              </w:rPr>
              <w:t>COMISIONADA</w:t>
            </w:r>
          </w:p>
          <w:p w:rsidR="004F6A17" w:rsidRPr="009F71D8" w:rsidRDefault="004F6A17" w:rsidP="003F11EE">
            <w:pPr>
              <w:spacing w:after="0" w:line="240" w:lineRule="auto"/>
              <w:ind w:right="51"/>
              <w:jc w:val="center"/>
              <w:rPr>
                <w:rFonts w:ascii="Palatino Linotype" w:hAnsi="Palatino Linotype"/>
                <w:b/>
                <w:sz w:val="24"/>
                <w:szCs w:val="24"/>
              </w:rPr>
            </w:pPr>
            <w:r w:rsidRPr="00D21AFF">
              <w:rPr>
                <w:rFonts w:ascii="Palatino Linotype" w:hAnsi="Palatino Linotype" w:cs="Arial"/>
                <w:b/>
              </w:rPr>
              <w:t>(RÚBRICA)</w:t>
            </w:r>
          </w:p>
          <w:p w:rsidR="00222D15" w:rsidRPr="009F71D8" w:rsidRDefault="00222D15" w:rsidP="003F11EE">
            <w:pPr>
              <w:spacing w:after="0" w:line="240" w:lineRule="auto"/>
              <w:ind w:right="51"/>
              <w:jc w:val="center"/>
              <w:rPr>
                <w:rFonts w:ascii="Palatino Linotype" w:hAnsi="Palatino Linotype"/>
                <w:b/>
                <w:sz w:val="24"/>
                <w:szCs w:val="24"/>
              </w:rPr>
            </w:pPr>
          </w:p>
        </w:tc>
      </w:tr>
    </w:tbl>
    <w:p w:rsidR="00A12C36" w:rsidRDefault="00A12C36" w:rsidP="003F11EE">
      <w:pPr>
        <w:widowControl w:val="0"/>
        <w:spacing w:before="100" w:beforeAutospacing="1" w:after="100" w:afterAutospacing="1" w:line="360" w:lineRule="auto"/>
        <w:ind w:right="51"/>
        <w:jc w:val="both"/>
        <w:rPr>
          <w:rFonts w:ascii="Palatino Linotype" w:eastAsia="Calibri" w:hAnsi="Palatino Linotype" w:cs="Arial"/>
          <w:color w:val="000000" w:themeColor="text1"/>
          <w:sz w:val="20"/>
          <w:szCs w:val="20"/>
        </w:rPr>
      </w:pPr>
    </w:p>
    <w:p w:rsidR="00FD0634" w:rsidRDefault="00FD0634" w:rsidP="003F11EE">
      <w:pPr>
        <w:widowControl w:val="0"/>
        <w:spacing w:before="100" w:beforeAutospacing="1" w:after="100" w:afterAutospacing="1" w:line="360" w:lineRule="auto"/>
        <w:ind w:right="51"/>
        <w:jc w:val="both"/>
        <w:rPr>
          <w:rFonts w:ascii="Palatino Linotype" w:eastAsia="Calibri" w:hAnsi="Palatino Linotype" w:cs="Arial"/>
          <w:color w:val="000000" w:themeColor="text1"/>
          <w:sz w:val="20"/>
          <w:szCs w:val="20"/>
        </w:rPr>
      </w:pPr>
    </w:p>
    <w:p w:rsidR="00FD0634" w:rsidRDefault="00FD0634" w:rsidP="003F11EE">
      <w:pPr>
        <w:widowControl w:val="0"/>
        <w:spacing w:before="100" w:beforeAutospacing="1" w:after="100" w:afterAutospacing="1" w:line="360" w:lineRule="auto"/>
        <w:ind w:right="51"/>
        <w:jc w:val="both"/>
        <w:rPr>
          <w:rFonts w:ascii="Palatino Linotype" w:eastAsia="Calibri" w:hAnsi="Palatino Linotype" w:cs="Arial"/>
          <w:color w:val="000000" w:themeColor="text1"/>
          <w:sz w:val="20"/>
          <w:szCs w:val="20"/>
        </w:rPr>
      </w:pPr>
    </w:p>
    <w:p w:rsidR="00FD0634" w:rsidRDefault="00FD0634" w:rsidP="003F11EE">
      <w:pPr>
        <w:widowControl w:val="0"/>
        <w:spacing w:before="100" w:beforeAutospacing="1" w:after="100" w:afterAutospacing="1" w:line="360" w:lineRule="auto"/>
        <w:ind w:right="51"/>
        <w:jc w:val="both"/>
        <w:rPr>
          <w:rFonts w:ascii="Palatino Linotype" w:eastAsia="Calibri" w:hAnsi="Palatino Linotype" w:cs="Arial"/>
          <w:color w:val="000000" w:themeColor="text1"/>
          <w:sz w:val="20"/>
          <w:szCs w:val="20"/>
        </w:rPr>
      </w:pPr>
    </w:p>
    <w:p w:rsidR="00222D15" w:rsidRDefault="00222D15" w:rsidP="003F11EE">
      <w:pPr>
        <w:widowControl w:val="0"/>
        <w:spacing w:after="0" w:line="240" w:lineRule="auto"/>
        <w:ind w:right="51"/>
        <w:jc w:val="both"/>
        <w:rPr>
          <w:rFonts w:ascii="Palatino Linotype" w:hAnsi="Palatino Linotype" w:cs="Arial"/>
          <w:bCs/>
          <w:sz w:val="20"/>
          <w:szCs w:val="20"/>
        </w:rPr>
      </w:pPr>
      <w:r w:rsidRPr="002D79AC">
        <w:rPr>
          <w:rFonts w:ascii="Palatino Linotype" w:eastAsia="Calibri" w:hAnsi="Palatino Linotype" w:cs="Arial"/>
          <w:color w:val="000000" w:themeColor="text1"/>
          <w:sz w:val="20"/>
          <w:szCs w:val="20"/>
        </w:rPr>
        <w:t xml:space="preserve">Esta hoja corresponde al voto particular emitido en </w:t>
      </w:r>
      <w:r w:rsidR="007746BF">
        <w:rPr>
          <w:rFonts w:ascii="Palatino Linotype" w:eastAsia="Calibri" w:hAnsi="Palatino Linotype" w:cs="Arial"/>
          <w:color w:val="000000" w:themeColor="text1"/>
          <w:sz w:val="20"/>
          <w:szCs w:val="20"/>
        </w:rPr>
        <w:t>la resolución d</w:t>
      </w:r>
      <w:r w:rsidRPr="002D79AC">
        <w:rPr>
          <w:rFonts w:ascii="Palatino Linotype" w:eastAsia="Calibri" w:hAnsi="Palatino Linotype" w:cs="Arial"/>
          <w:color w:val="000000" w:themeColor="text1"/>
          <w:sz w:val="20"/>
          <w:szCs w:val="20"/>
        </w:rPr>
        <w:t xml:space="preserve">el recurso de revisión </w:t>
      </w:r>
      <w:r w:rsidR="003F11EE">
        <w:rPr>
          <w:rFonts w:ascii="Palatino Linotype" w:hAnsi="Palatino Linotype" w:cs="Arial"/>
          <w:bCs/>
          <w:sz w:val="20"/>
          <w:szCs w:val="20"/>
        </w:rPr>
        <w:t>02725/</w:t>
      </w:r>
      <w:r w:rsidRPr="002D79AC">
        <w:rPr>
          <w:rFonts w:ascii="Palatino Linotype" w:hAnsi="Palatino Linotype" w:cs="Arial"/>
          <w:bCs/>
          <w:sz w:val="20"/>
          <w:szCs w:val="20"/>
        </w:rPr>
        <w:t>INFOEM/IP/RR/201</w:t>
      </w:r>
      <w:r w:rsidR="00657587">
        <w:rPr>
          <w:rFonts w:ascii="Palatino Linotype" w:hAnsi="Palatino Linotype" w:cs="Arial"/>
          <w:bCs/>
          <w:sz w:val="20"/>
          <w:szCs w:val="20"/>
        </w:rPr>
        <w:t>8</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7746BF">
        <w:rPr>
          <w:rFonts w:ascii="Palatino Linotype" w:hAnsi="Palatino Linotype" w:cs="Arial"/>
          <w:bCs/>
          <w:sz w:val="20"/>
          <w:szCs w:val="20"/>
        </w:rPr>
        <w:t>aprobada</w:t>
      </w:r>
      <w:r w:rsidRPr="002D79AC">
        <w:rPr>
          <w:rFonts w:ascii="Palatino Linotype" w:hAnsi="Palatino Linotype" w:cs="Arial"/>
          <w:bCs/>
          <w:sz w:val="20"/>
          <w:szCs w:val="20"/>
        </w:rPr>
        <w:t xml:space="preserve"> el </w:t>
      </w:r>
      <w:r w:rsidR="003F11EE">
        <w:rPr>
          <w:rFonts w:ascii="Palatino Linotype" w:hAnsi="Palatino Linotype" w:cs="Arial"/>
          <w:bCs/>
          <w:sz w:val="20"/>
          <w:szCs w:val="20"/>
        </w:rPr>
        <w:t>diecinueve</w:t>
      </w:r>
      <w:r w:rsidR="007746BF">
        <w:rPr>
          <w:rFonts w:ascii="Palatino Linotype" w:hAnsi="Palatino Linotype" w:cs="Arial"/>
          <w:bCs/>
          <w:sz w:val="20"/>
          <w:szCs w:val="20"/>
        </w:rPr>
        <w:t xml:space="preserve"> de </w:t>
      </w:r>
      <w:r w:rsidR="003F11EE">
        <w:rPr>
          <w:rFonts w:ascii="Palatino Linotype" w:hAnsi="Palatino Linotype" w:cs="Arial"/>
          <w:bCs/>
          <w:sz w:val="20"/>
          <w:szCs w:val="20"/>
        </w:rPr>
        <w:t>septiembre</w:t>
      </w:r>
      <w:r w:rsidR="008610EC">
        <w:rPr>
          <w:rFonts w:ascii="Palatino Linotype" w:hAnsi="Palatino Linotype" w:cs="Arial"/>
          <w:bCs/>
          <w:sz w:val="20"/>
          <w:szCs w:val="20"/>
        </w:rPr>
        <w:t xml:space="preserve"> </w:t>
      </w:r>
      <w:r>
        <w:rPr>
          <w:rFonts w:ascii="Palatino Linotype" w:hAnsi="Palatino Linotype" w:cs="Arial"/>
          <w:bCs/>
          <w:sz w:val="20"/>
          <w:szCs w:val="20"/>
        </w:rPr>
        <w:t>de dos mil dieciocho</w:t>
      </w:r>
      <w:r w:rsidRPr="002D79AC">
        <w:rPr>
          <w:rFonts w:ascii="Palatino Linotype" w:hAnsi="Palatino Linotype" w:cs="Arial"/>
          <w:bCs/>
          <w:sz w:val="20"/>
          <w:szCs w:val="20"/>
        </w:rPr>
        <w:t>.</w:t>
      </w:r>
    </w:p>
    <w:p w:rsidR="003F11EE" w:rsidRPr="003F11EE" w:rsidRDefault="003F11EE" w:rsidP="003F11EE">
      <w:pPr>
        <w:widowControl w:val="0"/>
        <w:spacing w:after="0" w:line="240" w:lineRule="auto"/>
        <w:ind w:right="51"/>
        <w:jc w:val="both"/>
        <w:rPr>
          <w:rFonts w:ascii="Palatino Linotype" w:hAnsi="Palatino Linotype" w:cs="Arial"/>
          <w:sz w:val="6"/>
          <w:szCs w:val="20"/>
        </w:rPr>
      </w:pPr>
    </w:p>
    <w:p w:rsidR="00C23B43" w:rsidRPr="00866C94" w:rsidRDefault="00222D15" w:rsidP="003F11EE">
      <w:pPr>
        <w:spacing w:after="0" w:line="240" w:lineRule="auto"/>
        <w:ind w:right="51"/>
        <w:jc w:val="both"/>
        <w:rPr>
          <w:sz w:val="20"/>
          <w:szCs w:val="20"/>
        </w:rPr>
      </w:pPr>
      <w:r w:rsidRPr="002D79AC">
        <w:rPr>
          <w:rFonts w:ascii="Palatino Linotype" w:eastAsia="Calibri" w:hAnsi="Palatino Linotype" w:cs="Arial"/>
          <w:color w:val="000000" w:themeColor="text1"/>
          <w:sz w:val="20"/>
          <w:szCs w:val="20"/>
        </w:rPr>
        <w:t>YSM/</w:t>
      </w:r>
      <w:r w:rsidR="003F11EE">
        <w:rPr>
          <w:rFonts w:ascii="Palatino Linotype" w:eastAsia="Calibri" w:hAnsi="Palatino Linotype" w:cs="Arial"/>
          <w:color w:val="000000" w:themeColor="text1"/>
          <w:sz w:val="20"/>
          <w:szCs w:val="20"/>
        </w:rPr>
        <w:t>IAHA</w:t>
      </w:r>
    </w:p>
    <w:sectPr w:rsidR="00C23B43" w:rsidRPr="00866C94"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E5C" w:rsidRDefault="00C21E5C" w:rsidP="00222D15">
      <w:pPr>
        <w:spacing w:after="0" w:line="240" w:lineRule="auto"/>
      </w:pPr>
      <w:r>
        <w:separator/>
      </w:r>
    </w:p>
  </w:endnote>
  <w:endnote w:type="continuationSeparator" w:id="0">
    <w:p w:rsidR="00C21E5C" w:rsidRDefault="00C21E5C"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ABF" w:rsidRDefault="005B0ABF" w:rsidP="00DC5C4E">
    <w:pPr>
      <w:pStyle w:val="Piedepgina"/>
      <w:tabs>
        <w:tab w:val="clear" w:pos="4252"/>
        <w:tab w:val="left" w:pos="4228"/>
      </w:tabs>
      <w:rPr>
        <w:rFonts w:ascii="Palatino Linotype" w:hAnsi="Palatino Linotype" w:cs="Arial"/>
        <w:b/>
        <w:bCs/>
        <w:sz w:val="20"/>
        <w:szCs w:val="20"/>
      </w:rPr>
    </w:pPr>
  </w:p>
  <w:p w:rsidR="003F11EE" w:rsidRDefault="003F11EE" w:rsidP="00DC5C4E">
    <w:pPr>
      <w:pStyle w:val="Piedepgina"/>
      <w:tabs>
        <w:tab w:val="clear" w:pos="4252"/>
        <w:tab w:val="left" w:pos="4228"/>
      </w:tabs>
      <w:rPr>
        <w:rFonts w:ascii="Palatino Linotype" w:hAnsi="Palatino Linotype" w:cs="Arial"/>
        <w:b/>
        <w:bCs/>
        <w:sz w:val="20"/>
        <w:szCs w:val="20"/>
      </w:rPr>
    </w:pPr>
  </w:p>
  <w:p w:rsidR="005C7C8F" w:rsidRDefault="004F6A17" w:rsidP="00DC5C4E">
    <w:pPr>
      <w:pStyle w:val="Piedepgina"/>
      <w:tabs>
        <w:tab w:val="clear" w:pos="4252"/>
        <w:tab w:val="left" w:pos="4228"/>
      </w:tabs>
      <w:rPr>
        <w:rFonts w:ascii="Palatino Linotype" w:hAnsi="Palatino Linotype" w:cs="Arial"/>
        <w:b/>
        <w:bCs/>
        <w:sz w:val="20"/>
        <w:szCs w:val="20"/>
      </w:rPr>
    </w:pPr>
  </w:p>
  <w:p w:rsidR="005C7C8F" w:rsidRDefault="004F6A17" w:rsidP="00DC5C4E">
    <w:pPr>
      <w:pStyle w:val="Piedepgina"/>
      <w:tabs>
        <w:tab w:val="clear" w:pos="4252"/>
        <w:tab w:val="left" w:pos="4228"/>
      </w:tabs>
      <w:rPr>
        <w:rFonts w:ascii="Palatino Linotype" w:hAnsi="Palatino Linotype" w:cs="Arial"/>
        <w:b/>
        <w:bCs/>
        <w:sz w:val="20"/>
        <w:szCs w:val="20"/>
      </w:rPr>
    </w:pPr>
  </w:p>
  <w:p w:rsidR="005C7C8F" w:rsidRDefault="004F6A17"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F6A1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F6A1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4F6A17"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E5C" w:rsidRDefault="00C21E5C" w:rsidP="00222D15">
      <w:pPr>
        <w:spacing w:after="0" w:line="240" w:lineRule="auto"/>
      </w:pPr>
      <w:r>
        <w:separator/>
      </w:r>
    </w:p>
  </w:footnote>
  <w:footnote w:type="continuationSeparator" w:id="0">
    <w:p w:rsidR="00C21E5C" w:rsidRDefault="00C21E5C"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F6A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4F6A17"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4F6A17"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D93B99" w:rsidRDefault="00C92D53" w:rsidP="00036834">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4B7656">
      <w:rPr>
        <w:rFonts w:ascii="Palatino Linotype" w:hAnsi="Palatino Linotype" w:cs="Arial"/>
        <w:sz w:val="20"/>
        <w:szCs w:val="20"/>
      </w:rPr>
      <w:t>2725</w:t>
    </w:r>
    <w:r w:rsidRPr="00A91250">
      <w:rPr>
        <w:rFonts w:ascii="Palatino Linotype" w:hAnsi="Palatino Linotype" w:cs="Arial"/>
        <w:sz w:val="20"/>
        <w:szCs w:val="20"/>
      </w:rPr>
      <w:t>/INFOEM/IP/RR/201</w:t>
    </w:r>
    <w:r w:rsidR="00222D15">
      <w:rPr>
        <w:rFonts w:ascii="Palatino Linotype" w:hAnsi="Palatino Linotype" w:cs="Arial"/>
        <w:sz w:val="20"/>
        <w:szCs w:val="20"/>
      </w:rPr>
      <w:t>8</w:t>
    </w:r>
  </w:p>
  <w:p w:rsidR="003F11EE" w:rsidRDefault="003F11EE" w:rsidP="005B0ABF">
    <w:pPr>
      <w:pStyle w:val="Encabezado"/>
      <w:tabs>
        <w:tab w:val="clear" w:pos="4252"/>
        <w:tab w:val="clear" w:pos="8504"/>
        <w:tab w:val="left" w:pos="2326"/>
      </w:tabs>
      <w:rPr>
        <w:rFonts w:ascii="Palatino Linotype" w:hAnsi="Palatino Linotype" w:cs="Arial"/>
        <w:sz w:val="20"/>
        <w:szCs w:val="20"/>
      </w:rPr>
    </w:pPr>
  </w:p>
  <w:p w:rsidR="00D406EF" w:rsidRDefault="004F6A17" w:rsidP="005B0ABF">
    <w:pPr>
      <w:pStyle w:val="Encabezado"/>
      <w:tabs>
        <w:tab w:val="clear" w:pos="4252"/>
        <w:tab w:val="clear" w:pos="8504"/>
        <w:tab w:val="left" w:pos="2326"/>
      </w:tabs>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14.65pt;height:56.8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F6A1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9B3F0B"/>
    <w:multiLevelType w:val="hybridMultilevel"/>
    <w:tmpl w:val="C61244E8"/>
    <w:lvl w:ilvl="0" w:tplc="EE5CE6BA">
      <w:start w:val="1"/>
      <w:numFmt w:val="upperRoman"/>
      <w:lvlText w:val="%1."/>
      <w:lvlJc w:val="left"/>
      <w:pPr>
        <w:ind w:left="1571" w:hanging="720"/>
      </w:pPr>
      <w:rPr>
        <w:rFonts w:asciiTheme="minorHAnsi" w:eastAsiaTheme="minorHAnsi" w:hAnsiTheme="minorHAnsi" w:cstheme="minorBid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4143728A"/>
    <w:multiLevelType w:val="hybridMultilevel"/>
    <w:tmpl w:val="B7CA6C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FD2FC0"/>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7355DE"/>
    <w:multiLevelType w:val="hybridMultilevel"/>
    <w:tmpl w:val="96EEA45E"/>
    <w:lvl w:ilvl="0" w:tplc="080A000F">
      <w:start w:val="1"/>
      <w:numFmt w:val="decimal"/>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5"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75E1F4E"/>
    <w:multiLevelType w:val="hybridMultilevel"/>
    <w:tmpl w:val="D2A80BB0"/>
    <w:lvl w:ilvl="0" w:tplc="C88296B2">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36834"/>
    <w:rsid w:val="0008195C"/>
    <w:rsid w:val="000964FE"/>
    <w:rsid w:val="0009676F"/>
    <w:rsid w:val="000A2F94"/>
    <w:rsid w:val="000F0E2A"/>
    <w:rsid w:val="00114896"/>
    <w:rsid w:val="00125DDC"/>
    <w:rsid w:val="001375AB"/>
    <w:rsid w:val="00144328"/>
    <w:rsid w:val="00165A12"/>
    <w:rsid w:val="001A0FDC"/>
    <w:rsid w:val="001B1174"/>
    <w:rsid w:val="001B17B9"/>
    <w:rsid w:val="001B3DF8"/>
    <w:rsid w:val="001C66C2"/>
    <w:rsid w:val="00222D15"/>
    <w:rsid w:val="002C7259"/>
    <w:rsid w:val="003006F3"/>
    <w:rsid w:val="0031796C"/>
    <w:rsid w:val="003746E8"/>
    <w:rsid w:val="003A49AA"/>
    <w:rsid w:val="003F11EE"/>
    <w:rsid w:val="00423A3A"/>
    <w:rsid w:val="00434F2D"/>
    <w:rsid w:val="004476C4"/>
    <w:rsid w:val="004726C4"/>
    <w:rsid w:val="00476590"/>
    <w:rsid w:val="004B7656"/>
    <w:rsid w:val="004F6A17"/>
    <w:rsid w:val="00500EEE"/>
    <w:rsid w:val="00516B49"/>
    <w:rsid w:val="0052778F"/>
    <w:rsid w:val="005401B1"/>
    <w:rsid w:val="00576ABB"/>
    <w:rsid w:val="0058208A"/>
    <w:rsid w:val="005A704F"/>
    <w:rsid w:val="005B0ABF"/>
    <w:rsid w:val="005E76A8"/>
    <w:rsid w:val="005F09E2"/>
    <w:rsid w:val="00642D83"/>
    <w:rsid w:val="00657587"/>
    <w:rsid w:val="006972DE"/>
    <w:rsid w:val="006D17CB"/>
    <w:rsid w:val="006E660E"/>
    <w:rsid w:val="00720102"/>
    <w:rsid w:val="00725933"/>
    <w:rsid w:val="00733C73"/>
    <w:rsid w:val="007368D7"/>
    <w:rsid w:val="007400A4"/>
    <w:rsid w:val="0075624F"/>
    <w:rsid w:val="00757DEA"/>
    <w:rsid w:val="007746BF"/>
    <w:rsid w:val="00780F23"/>
    <w:rsid w:val="007B39BA"/>
    <w:rsid w:val="007B3F24"/>
    <w:rsid w:val="0080427E"/>
    <w:rsid w:val="008610EC"/>
    <w:rsid w:val="00866C94"/>
    <w:rsid w:val="008F76F8"/>
    <w:rsid w:val="00945B85"/>
    <w:rsid w:val="009802CD"/>
    <w:rsid w:val="009D1779"/>
    <w:rsid w:val="009D220B"/>
    <w:rsid w:val="009E54E9"/>
    <w:rsid w:val="009E71E2"/>
    <w:rsid w:val="00A10810"/>
    <w:rsid w:val="00A12C36"/>
    <w:rsid w:val="00A251D3"/>
    <w:rsid w:val="00AE56B4"/>
    <w:rsid w:val="00B02E26"/>
    <w:rsid w:val="00B06BB8"/>
    <w:rsid w:val="00B23B77"/>
    <w:rsid w:val="00B45A2D"/>
    <w:rsid w:val="00B9662F"/>
    <w:rsid w:val="00BD0671"/>
    <w:rsid w:val="00BD68F5"/>
    <w:rsid w:val="00C21E5C"/>
    <w:rsid w:val="00C23B43"/>
    <w:rsid w:val="00C644A9"/>
    <w:rsid w:val="00C75816"/>
    <w:rsid w:val="00C92D53"/>
    <w:rsid w:val="00C9714C"/>
    <w:rsid w:val="00CA0687"/>
    <w:rsid w:val="00CC11F3"/>
    <w:rsid w:val="00D24722"/>
    <w:rsid w:val="00D316E0"/>
    <w:rsid w:val="00D32ADD"/>
    <w:rsid w:val="00D34ECE"/>
    <w:rsid w:val="00D53D2E"/>
    <w:rsid w:val="00D5601A"/>
    <w:rsid w:val="00D611DA"/>
    <w:rsid w:val="00D873BD"/>
    <w:rsid w:val="00D93B99"/>
    <w:rsid w:val="00D95415"/>
    <w:rsid w:val="00D9781B"/>
    <w:rsid w:val="00DB07E1"/>
    <w:rsid w:val="00E17CA7"/>
    <w:rsid w:val="00E30654"/>
    <w:rsid w:val="00E43AC4"/>
    <w:rsid w:val="00E47517"/>
    <w:rsid w:val="00E71FBC"/>
    <w:rsid w:val="00E86256"/>
    <w:rsid w:val="00EC2281"/>
    <w:rsid w:val="00ED1FDA"/>
    <w:rsid w:val="00F150F5"/>
    <w:rsid w:val="00F162E3"/>
    <w:rsid w:val="00F305F4"/>
    <w:rsid w:val="00F4071D"/>
    <w:rsid w:val="00F5354F"/>
    <w:rsid w:val="00F55F63"/>
    <w:rsid w:val="00F76A99"/>
    <w:rsid w:val="00F95573"/>
    <w:rsid w:val="00FC2A3C"/>
    <w:rsid w:val="00FC5A94"/>
    <w:rsid w:val="00FC6B2B"/>
    <w:rsid w:val="00FD0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400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4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1399</Words>
  <Characters>7695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2018-05-25T16:49:00Z</cp:lastPrinted>
  <dcterms:created xsi:type="dcterms:W3CDTF">2018-09-20T22:15:00Z</dcterms:created>
  <dcterms:modified xsi:type="dcterms:W3CDTF">2018-10-18T19:42:00Z</dcterms:modified>
</cp:coreProperties>
</file>